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sk-SK"/>
        </w:rPr>
      </w:pPr>
      <w:r w:rsidRPr="00ED6575">
        <w:rPr>
          <w:rFonts w:ascii="Arial" w:eastAsia="Times New Roman" w:hAnsi="Arial" w:cs="Arial"/>
          <w:b/>
          <w:bCs/>
          <w:color w:val="FF8400"/>
          <w:sz w:val="20"/>
          <w:szCs w:val="20"/>
          <w:lang w:eastAsia="sk-SK"/>
        </w:rPr>
        <w:t>§ 62</w:t>
      </w:r>
    </w:p>
    <w:p w:rsidR="00ED6575" w:rsidRPr="00ED6575" w:rsidRDefault="00ED6575" w:rsidP="00ED6575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sk-SK"/>
        </w:rPr>
      </w:pPr>
      <w:r w:rsidRPr="00ED6575">
        <w:rPr>
          <w:rFonts w:ascii="Arial" w:eastAsia="Times New Roman" w:hAnsi="Arial" w:cs="Arial"/>
          <w:b/>
          <w:bCs/>
          <w:color w:val="08A8F8"/>
          <w:lang w:eastAsia="sk-SK"/>
        </w:rPr>
        <w:t>Predpoklady prijatia na vzdelávanie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0" w:name="p62-1"/>
      <w:bookmarkEnd w:id="0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(1)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štvorročného vzdelávacieho programu v gymnáziách môže byť prijatý uchádzač, ktorý spĺňa tieto podmienky: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" w:name="p62-1-a"/>
      <w:bookmarkEnd w:id="1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a)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nemá priemerný prospech z povinných vyučovacích predmetov určených rámcovým učebným plánom pre druhý stupeň základných škôl, okrem vyučovacích predmetov s výchovným zameraním, na konci druhého polroku ôsmeho ročníka a na konci prvého polroku deviateho ročníka horší ako 2,0,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" w:name="p62-1-b"/>
      <w:bookmarkEnd w:id="2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b)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splnil podmienky prijímacieho konania,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3" w:name="p62-1-c"/>
      <w:bookmarkEnd w:id="3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c)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získal nižšie stredné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4" w:anchor="f6671832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3 písm. b)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nemá priemerný prospech z povinných vyučovacích predmetov určených rámcovým učebným plánom pre druhý stupeň základných škôl, okrem vyučovacích predmetov s výchovným zameraním, na konci druhého polroku deviateho ročníka horší ako 2,0.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4" w:name="p62-2"/>
      <w:bookmarkEnd w:id="4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(2)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osemročného vzdelávacieho programu v gymnáziách alebo osemročného vzdelávacieho programu v konzervatóriu môže byť prijatý uchádzač, ktorý získal primárne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5" w:anchor="f6671831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3 písm. a)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úspešne ukončil piaty ročník základnej školy v príslušnom školskom roku a splnil podmienky prijímacieho konania, ak tento zákon neustanovuje inak.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5" w:name="p62-3"/>
      <w:bookmarkEnd w:id="5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(3)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päťročného vzdelávacieho programu bilingválneho vzdelávania môže byť prijatý uchádzač, ktorý spĺňa tieto podmienky: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6" w:name="p62-3-a"/>
      <w:bookmarkEnd w:id="6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a)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úspešne ukončil ôsmy ročník vzdelávacieho programu základnej školy a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7" w:name="p62-3-a-1"/>
      <w:bookmarkEnd w:id="7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1.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nemá priemerný prospech z povinných vyučovacích predmetov určených rámcovým učebným plánom pre druhý stupeň základných škôl, okrem vyučovacích predmetov s výchovným zameraním, na konci druhého polroku siedmeho ročníka a na konci prvého polroku ôsmeho ročníka horší ako 2,0,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8" w:name="p62-3-a-2"/>
      <w:bookmarkEnd w:id="8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2.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splnil podmienky prijímacieho konania,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9" w:name="p62-3-a-3"/>
      <w:bookmarkEnd w:id="9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3.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získal primárne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6" w:anchor="f6671831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3 písm. a)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nemá priemerný prospech z povinných vyučovacích predmetov určených rámcovým učebným plánom pre druhý stupeň základných škôl, okrem vyučovacích predmetov s výchovným zameraním, na konci druhého polroku ôsmeho ročníka horší ako 2,0 alebo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0" w:name="p62-3-b"/>
      <w:bookmarkEnd w:id="10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b)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úspešne ukončil deviaty ročník vzdelávacieho programu základnej školy a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1" w:name="p62-3-b-1"/>
      <w:bookmarkEnd w:id="11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1.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nemá priemerný prospech z povinných vyučovacích predmetov určených rámcovým učebným plánom pre druhý stupeň základných škôl, okrem vyučovacích predmetov s výchovným zameraním, na konci druhého polroku ôsmeho ročníka a na konci prvého polroku deviateho ročníka horší ako 2,0,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2" w:name="p62-3-b-2"/>
      <w:bookmarkEnd w:id="12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2.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splnil podmienky prijímacieho konania,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3" w:name="p62-3-b-3"/>
      <w:bookmarkEnd w:id="13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3.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získal nižšie stredné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7" w:anchor="f6671832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3 písm. b)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nemá priemerný prospech z povinných vyučovacích predmetov určených rámcovým učebným plánom pre druhý stupeň základných škôl, okrem vyučovacích predmetov s výchovným zameraním, na konci druhého polroku deviateho ročníka horší ako 2,0.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4" w:name="p62-4"/>
      <w:bookmarkEnd w:id="14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(4)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vzdelávacieho programu nižšieho stredného odborného vzdelávania môže byť prijatý uchádzač, ktorý neukončil vzdelávací program základnej školy v poslednom ročníku alebo posledný ročník neukončil úspešne.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5" w:name="p62-5"/>
      <w:bookmarkEnd w:id="15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(5)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vzdelávacieho programu stredného odborného vzdelávania môže byť prijatý uchádzač, ktorý získal nižšie stredné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8" w:anchor="f6671832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3 písm. b)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splnil podmienky prijímacieho konania.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6" w:name="p62-6"/>
      <w:bookmarkEnd w:id="16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(6)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vzdelávacieho programu úplného stredného odborného vzdelávania môže byť prijatý uchádzač, ktorý spĺňa tieto podmienky: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7" w:name="p62-6-a"/>
      <w:bookmarkEnd w:id="17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a)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nemá priemerný prospech z povinných vyučovacích predmetov určených rámcovým učebným plánom pre druhý stupeň základných škôl, okrem vyučovacích predmetov s výchovným zameraním, na konci druhého polroku ôsmeho ročníka a na konci prvého polroku deviateho ročníka horší ako 2,75,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8" w:name="p62-6-b"/>
      <w:bookmarkEnd w:id="18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b)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splnil podmienky prijímacieho konania,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19" w:name="p62-6-c"/>
      <w:bookmarkEnd w:id="19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c)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získal nižšie stredné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9" w:anchor="f6671832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3 písm. b)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nemá priemerný prospech z povinných vyučovacích predmetov určených rámcovým učebným plánom pre druhý stupeň základných škôl, okrem vyučovacích predmetov s výchovným zameraním, na konci druhého polroku deviateho ročníka horší ako 2,75.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0" w:name="p62-7"/>
      <w:bookmarkEnd w:id="20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(7)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šesťročného vzdelávacieho programu vyššieho odborného vzdelávania v konzervatóriu môže byť prijatý uchádzač, ktorý získal nižšie stredné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10" w:anchor="f6671832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3 písm. b)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splnil podmienky prijímacieho konania.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1" w:name="p62-8"/>
      <w:bookmarkEnd w:id="21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(8)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nadstavbového štúdia môže byť prijatý uchádzač, ktorý získal stredné odborné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11" w:anchor="f6671833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4 písm. b)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splnil podmienky prijímacieho konania.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2" w:name="p62-9"/>
      <w:bookmarkEnd w:id="22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lastRenderedPageBreak/>
        <w:t>(9)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vzdelávacieho programu pomaturitného zdokonaľovacieho štúdia môže byť prijatý uchádzač, ktorý získal úplné stredné odborné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12" w:anchor="f6671833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4 písm. d)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splnil podmienky prijímacieho konania.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3" w:name="p62-10"/>
      <w:bookmarkEnd w:id="23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(10)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vzdelávacieho programu pomaturitného kvalifikačného štúdia môže byť prijatý uchádzač, ktorý získal úplné stredné všeobecné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13" w:anchor="f6671833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4 písm. c)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splnil podmienky prijímacieho konania alebo úplné stredné odborné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14" w:anchor="f6671833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4 písm. d)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splnil podmienky prijímacieho konania.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4" w:name="p62-11"/>
      <w:bookmarkEnd w:id="24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(11)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prvého ročníka vzdelávacieho programu vyššieho odborného vzdelávania v strednej odbornej škole môže byť prijatý uchádzač, ktorý získal úplné stredné všeobecné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15" w:anchor="f6671833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4 písm. c)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splnil podmienky prijímacieho konania alebo úplné stredné odborné vzdelanie podľa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hyperlink r:id="rId16" w:anchor="f6671833" w:history="1">
        <w:r w:rsidRPr="00ED6575">
          <w:rPr>
            <w:rFonts w:ascii="Arial" w:eastAsia="Times New Roman" w:hAnsi="Arial" w:cs="Arial"/>
            <w:color w:val="05507A"/>
            <w:sz w:val="20"/>
            <w:lang w:eastAsia="sk-SK"/>
          </w:rPr>
          <w:t>§ 16 ods. 4 písm. d)</w:t>
        </w:r>
      </w:hyperlink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splnil podmienky prijímacieho konania.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5" w:name="p62-12"/>
      <w:bookmarkEnd w:id="25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(12)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Podmienkou prijatia uchádzača na vzdelávanie je, že uchádzač nie je žiakom inej strednej školy.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6" w:name="p62-13"/>
      <w:bookmarkEnd w:id="26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(13)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Predpokladom prijatia na zdravotnícke študijné odbory vzdelávania je splnenie kritérií na zdravotnú spôsobilosť, ktoré ustanoví ministerstvo zdravotníctva všeobecne záväzným právnym predpisom.</w:t>
      </w:r>
    </w:p>
    <w:p w:rsidR="00ED6575" w:rsidRPr="00ED6575" w:rsidRDefault="00ED6575" w:rsidP="00ED65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27" w:name="p62-14"/>
      <w:bookmarkEnd w:id="27"/>
      <w:r w:rsidRPr="00ED6575">
        <w:rPr>
          <w:rFonts w:ascii="Arial" w:eastAsia="Times New Roman" w:hAnsi="Arial" w:cs="Arial"/>
          <w:b/>
          <w:bCs/>
          <w:color w:val="303030"/>
          <w:sz w:val="20"/>
          <w:lang w:eastAsia="sk-SK"/>
        </w:rPr>
        <w:t>(14)</w:t>
      </w:r>
      <w:r w:rsidRPr="00ED6575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ED657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Ministerstvo školstva ustanoví všeobecne záväzným právnym predpisom zoznam študijných odborov a učebných odborov, v ktorých sa vyžaduje overenie špeciálnych schopností, zručností alebo nadania.</w:t>
      </w:r>
    </w:p>
    <w:p w:rsidR="008A4B1B" w:rsidRDefault="008A4B1B"/>
    <w:sectPr w:rsidR="008A4B1B" w:rsidSect="008A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575"/>
    <w:rsid w:val="008A4B1B"/>
    <w:rsid w:val="00E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4B1B"/>
  </w:style>
  <w:style w:type="paragraph" w:styleId="Nadpis3">
    <w:name w:val="heading 3"/>
    <w:basedOn w:val="Normlny"/>
    <w:link w:val="Nadpis3Char"/>
    <w:uiPriority w:val="9"/>
    <w:qFormat/>
    <w:rsid w:val="00ED6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D657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l4">
    <w:name w:val="l4"/>
    <w:basedOn w:val="Normlny"/>
    <w:rsid w:val="00E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5">
    <w:name w:val="l5"/>
    <w:basedOn w:val="Normlny"/>
    <w:rsid w:val="00E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ED6575"/>
  </w:style>
  <w:style w:type="character" w:customStyle="1" w:styleId="apple-converted-space">
    <w:name w:val="apple-converted-space"/>
    <w:basedOn w:val="Predvolenpsmoodseku"/>
    <w:rsid w:val="00ED6575"/>
  </w:style>
  <w:style w:type="paragraph" w:customStyle="1" w:styleId="l6">
    <w:name w:val="l6"/>
    <w:basedOn w:val="Normlny"/>
    <w:rsid w:val="00E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D6575"/>
    <w:rPr>
      <w:color w:val="0000FF"/>
      <w:u w:val="single"/>
    </w:rPr>
  </w:style>
  <w:style w:type="paragraph" w:customStyle="1" w:styleId="l7">
    <w:name w:val="l7"/>
    <w:basedOn w:val="Normlny"/>
    <w:rsid w:val="00E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8-245/znenie-20140901" TargetMode="External"/><Relationship Id="rId13" Type="http://schemas.openxmlformats.org/officeDocument/2006/relationships/hyperlink" Target="http://www.zakonypreludi.sk/zz/2008-245/znenie-2014090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onypreludi.sk/zz/2008-245/znenie-20140901" TargetMode="External"/><Relationship Id="rId12" Type="http://schemas.openxmlformats.org/officeDocument/2006/relationships/hyperlink" Target="http://www.zakonypreludi.sk/zz/2008-245/znenie-2014090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akonypreludi.sk/zz/2008-245/znenie-201409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ypreludi.sk/zz/2008-245/znenie-20140901" TargetMode="External"/><Relationship Id="rId11" Type="http://schemas.openxmlformats.org/officeDocument/2006/relationships/hyperlink" Target="http://www.zakonypreludi.sk/zz/2008-245/znenie-20140901" TargetMode="External"/><Relationship Id="rId5" Type="http://schemas.openxmlformats.org/officeDocument/2006/relationships/hyperlink" Target="http://www.zakonypreludi.sk/zz/2008-245/znenie-20140901" TargetMode="External"/><Relationship Id="rId15" Type="http://schemas.openxmlformats.org/officeDocument/2006/relationships/hyperlink" Target="http://www.zakonypreludi.sk/zz/2008-245/znenie-20140901" TargetMode="External"/><Relationship Id="rId10" Type="http://schemas.openxmlformats.org/officeDocument/2006/relationships/hyperlink" Target="http://www.zakonypreludi.sk/zz/2008-245/znenie-20140901" TargetMode="External"/><Relationship Id="rId4" Type="http://schemas.openxmlformats.org/officeDocument/2006/relationships/hyperlink" Target="http://www.zakonypreludi.sk/zz/2008-245/znenie-20140901" TargetMode="External"/><Relationship Id="rId9" Type="http://schemas.openxmlformats.org/officeDocument/2006/relationships/hyperlink" Target="http://www.zakonypreludi.sk/zz/2008-245/znenie-20140901" TargetMode="External"/><Relationship Id="rId14" Type="http://schemas.openxmlformats.org/officeDocument/2006/relationships/hyperlink" Target="http://www.zakonypreludi.sk/zz/2008-245/znenie-201409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1013</Words>
  <Characters>5780</Characters>
  <Application>Microsoft Office Word</Application>
  <DocSecurity>0</DocSecurity>
  <Lines>48</Lines>
  <Paragraphs>13</Paragraphs>
  <ScaleCrop>false</ScaleCrop>
  <Company>HP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</dc:creator>
  <cp:keywords/>
  <dc:description/>
  <cp:lastModifiedBy>Rafajdusová</cp:lastModifiedBy>
  <cp:revision>3</cp:revision>
  <cp:lastPrinted>2014-02-06T12:53:00Z</cp:lastPrinted>
  <dcterms:created xsi:type="dcterms:W3CDTF">2014-02-06T12:51:00Z</dcterms:created>
  <dcterms:modified xsi:type="dcterms:W3CDTF">2014-02-06T12:54:00Z</dcterms:modified>
</cp:coreProperties>
</file>